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A2D" w:rsidRDefault="009B0A2D" w:rsidP="00425886">
      <w:pPr>
        <w:jc w:val="center"/>
      </w:pPr>
    </w:p>
    <w:p w:rsidR="00A753CB" w:rsidRDefault="00A753CB" w:rsidP="00425886">
      <w:pPr>
        <w:jc w:val="center"/>
      </w:pPr>
    </w:p>
    <w:p w:rsidR="00A753CB" w:rsidRDefault="00A753CB" w:rsidP="00425886">
      <w:pPr>
        <w:jc w:val="center"/>
      </w:pPr>
    </w:p>
    <w:p w:rsidR="009B0A2D" w:rsidRDefault="009B0A2D" w:rsidP="00425886">
      <w:pPr>
        <w:jc w:val="center"/>
      </w:pPr>
    </w:p>
    <w:p w:rsidR="009B0A2D" w:rsidRDefault="009B0A2D" w:rsidP="00425886">
      <w:pPr>
        <w:jc w:val="center"/>
      </w:pPr>
    </w:p>
    <w:p w:rsidR="009B0A2D" w:rsidRDefault="009B0A2D" w:rsidP="00425886">
      <w:pPr>
        <w:jc w:val="center"/>
      </w:pPr>
    </w:p>
    <w:p w:rsidR="009B0A2D" w:rsidRDefault="009B0A2D" w:rsidP="00425886">
      <w:pPr>
        <w:jc w:val="center"/>
      </w:pPr>
    </w:p>
    <w:p w:rsidR="001115E1" w:rsidRDefault="001115E1" w:rsidP="00425886">
      <w:pPr>
        <w:jc w:val="center"/>
      </w:pPr>
      <w:r>
        <w:t>Energy Efficiency in the Workplace</w:t>
      </w:r>
      <w:r w:rsidR="00425886">
        <w:t>.</w:t>
      </w:r>
    </w:p>
    <w:p w:rsidR="00425886" w:rsidRDefault="00425886" w:rsidP="00425886">
      <w:pPr>
        <w:jc w:val="center"/>
      </w:pPr>
      <w:r>
        <w:t>Name.</w:t>
      </w:r>
    </w:p>
    <w:p w:rsidR="00425886" w:rsidRDefault="00425886" w:rsidP="00425886">
      <w:pPr>
        <w:jc w:val="center"/>
      </w:pPr>
      <w:r>
        <w:t>Institution.</w:t>
      </w:r>
    </w:p>
    <w:p w:rsidR="00425886" w:rsidRDefault="00425886" w:rsidP="00425886">
      <w:pPr>
        <w:jc w:val="center"/>
      </w:pPr>
      <w:r>
        <w:t>Date.</w:t>
      </w:r>
    </w:p>
    <w:p w:rsidR="009B0A2D" w:rsidRDefault="009B0A2D" w:rsidP="00425886">
      <w:pPr>
        <w:jc w:val="center"/>
      </w:pPr>
    </w:p>
    <w:p w:rsidR="009B0A2D" w:rsidRDefault="009B0A2D" w:rsidP="00425886">
      <w:pPr>
        <w:jc w:val="center"/>
      </w:pPr>
    </w:p>
    <w:p w:rsidR="009B0A2D" w:rsidRDefault="009B0A2D" w:rsidP="00425886">
      <w:pPr>
        <w:jc w:val="center"/>
      </w:pPr>
    </w:p>
    <w:p w:rsidR="009B0A2D" w:rsidRDefault="009B0A2D" w:rsidP="00425886">
      <w:pPr>
        <w:jc w:val="center"/>
      </w:pPr>
    </w:p>
    <w:p w:rsidR="009B0A2D" w:rsidRDefault="009B0A2D" w:rsidP="00425886">
      <w:pPr>
        <w:jc w:val="center"/>
      </w:pPr>
    </w:p>
    <w:p w:rsidR="009B0A2D" w:rsidRDefault="009B0A2D" w:rsidP="00425886">
      <w:pPr>
        <w:jc w:val="center"/>
      </w:pPr>
    </w:p>
    <w:p w:rsidR="009B0A2D" w:rsidRDefault="009B0A2D" w:rsidP="00A753CB">
      <w:pPr>
        <w:ind w:left="0"/>
      </w:pPr>
    </w:p>
    <w:p w:rsidR="000919D5" w:rsidRDefault="000919D5" w:rsidP="000919D5">
      <w:pPr>
        <w:ind w:firstLine="360"/>
        <w:jc w:val="center"/>
      </w:pPr>
      <w:r>
        <w:lastRenderedPageBreak/>
        <w:t>Energy Efficiency in the Workplace.</w:t>
      </w:r>
    </w:p>
    <w:p w:rsidR="000919D5" w:rsidRPr="000919D5" w:rsidRDefault="000919D5" w:rsidP="000919D5">
      <w:pPr>
        <w:ind w:firstLine="360"/>
        <w:jc w:val="center"/>
        <w:rPr>
          <w:b/>
        </w:rPr>
      </w:pPr>
      <w:r w:rsidRPr="000919D5">
        <w:rPr>
          <w:b/>
        </w:rPr>
        <w:t>Introduction.</w:t>
      </w:r>
    </w:p>
    <w:p w:rsidR="000919D5" w:rsidRDefault="000919D5" w:rsidP="000919D5">
      <w:pPr>
        <w:ind w:firstLine="360"/>
      </w:pPr>
      <w:r>
        <w:t>Environmental friendly practices in an office have obvious benefits like cutting costs and reducing wastage. Moreover, the adoption of green offices has a positive effect on employees' productivity and morale. A study conducted by the Kenexa Research Institute revealed that organizational environmental incentives have a direct influence on workers' opinions in relation to the management as well as the overall job satisfaction (Solomon, 2018). The study involved employees from 13 nations and 54% of employees in the study favored the green programs. The Greening of the American Workplace 2010 discovered that incorporating green measures in offices resulted in huge cost reduction (Mofidi, 2017). In this paper, I will focus on energy wastage in the United States and provided eco-friendly practices that can help to reduce wastage and cut costs.</w:t>
      </w:r>
    </w:p>
    <w:p w:rsidR="000919D5" w:rsidRPr="000919D5" w:rsidRDefault="000919D5" w:rsidP="000919D5">
      <w:pPr>
        <w:ind w:firstLine="360"/>
        <w:jc w:val="center"/>
        <w:rPr>
          <w:b/>
        </w:rPr>
      </w:pPr>
      <w:r w:rsidRPr="000919D5">
        <w:rPr>
          <w:b/>
        </w:rPr>
        <w:t>Problem Statement</w:t>
      </w:r>
    </w:p>
    <w:p w:rsidR="000919D5" w:rsidRDefault="000919D5" w:rsidP="000919D5">
      <w:pPr>
        <w:ind w:firstLine="360"/>
      </w:pPr>
      <w:r>
        <w:t>According to the federal data, the U.S fails to capture about 66.7% of the power it generates (Solomon, 2018). Most of the power goes to waste. In a survey conducted in 2017 to determine energy efficiency, U.S ranked eighth in a total of 23 largest consumers of energy across the world (Solomon, 2018). According to the survey, the commercial sector alone accounted for electricity costs of about $190 billion with about 30% of this costs going to waste especially on office spaces (Solomon, 2018).</w:t>
      </w:r>
    </w:p>
    <w:p w:rsidR="000919D5" w:rsidRDefault="000919D5" w:rsidP="000919D5">
      <w:pPr>
        <w:ind w:firstLine="360"/>
      </w:pPr>
    </w:p>
    <w:p w:rsidR="000919D5" w:rsidRDefault="000919D5" w:rsidP="000919D5">
      <w:pPr>
        <w:ind w:firstLine="360"/>
      </w:pPr>
    </w:p>
    <w:p w:rsidR="000919D5" w:rsidRPr="000919D5" w:rsidRDefault="000919D5" w:rsidP="000919D5">
      <w:pPr>
        <w:ind w:firstLine="360"/>
        <w:jc w:val="center"/>
        <w:rPr>
          <w:b/>
        </w:rPr>
      </w:pPr>
      <w:r w:rsidRPr="000919D5">
        <w:rPr>
          <w:b/>
        </w:rPr>
        <w:lastRenderedPageBreak/>
        <w:t>Recommendations</w:t>
      </w:r>
    </w:p>
    <w:p w:rsidR="000919D5" w:rsidRDefault="000919D5" w:rsidP="000919D5">
      <w:pPr>
        <w:ind w:firstLine="360"/>
      </w:pPr>
      <w:r>
        <w:t>The recommended solution for mitigating wastages and cutting on costs is adopting the energy saving initiative in offices (Vine, 2017). The following practices are vital in making an office more sustainable and more energy efficient;</w:t>
      </w:r>
    </w:p>
    <w:p w:rsidR="000919D5" w:rsidRDefault="000919D5" w:rsidP="000919D5">
      <w:pPr>
        <w:ind w:firstLine="360"/>
      </w:pPr>
      <w:r>
        <w:t>First, there should be the adoption of green natural sources of light as alternatives. In green offices, artificial light should be limited in areas where the natural light cannot reach (Solomon, 2018). The artificial lights should be switched off when not in use. Furthermore, a green office can opt to introduce desk plants which improve air quality instead of using fans which consumes a lot of electricity. Moreover, desk plants introduce an appealing nature in the office environment. Rebecca Galloway, a manager at information studio, asserted that a desk plant has the ability to offset gasses released in the atmosphere by producing adequate oxygen and hence providing a productive environment for the employees to work (Vine, 2017).</w:t>
      </w:r>
    </w:p>
    <w:p w:rsidR="000919D5" w:rsidRDefault="000919D5" w:rsidP="000919D5">
      <w:pPr>
        <w:ind w:firstLine="360"/>
      </w:pPr>
      <w:r>
        <w:t xml:space="preserve">Secondly, the offices should opt for energy efficient lighting bulbs. The goal of switching to a green office is to minimize costs through wastage reduction. The less the energy spent the less finances wasted on electricity costs (Solomon, 2018). In particular, in the workplaces that do not get sufficient natural light in the daytime, low wattage lights are advocated to offer the required light and prevent wastages. For instance, CFL and LED lights can be used over the existing bulbs (Vine, 2017). Different to the ordinary lighting bulbs, the CFL and LED lights conserve energy and last longer hence reducing wastages and cutting on costs simultaneously. </w:t>
      </w:r>
    </w:p>
    <w:p w:rsidR="000919D5" w:rsidRDefault="000919D5" w:rsidP="000919D5">
      <w:pPr>
        <w:ind w:firstLine="360"/>
      </w:pPr>
      <w:r>
        <w:lastRenderedPageBreak/>
        <w:t>Finally, application of hibernation mode on all computers in the organization should be adopted. The management of the organization should advise all workers to set their devices in hibernation modes whenever they are out of the offices. The hibernation features save the existing work and allow the user to continue from where he left upon commencement (Solomon, 2018). Therefore, the hibernation feature serves as a crucial tool in the green practice.</w:t>
      </w:r>
    </w:p>
    <w:p w:rsidR="000919D5" w:rsidRPr="000919D5" w:rsidRDefault="000919D5" w:rsidP="000919D5">
      <w:pPr>
        <w:ind w:firstLine="360"/>
        <w:jc w:val="center"/>
        <w:rPr>
          <w:b/>
        </w:rPr>
      </w:pPr>
      <w:r w:rsidRPr="000919D5">
        <w:rPr>
          <w:b/>
        </w:rPr>
        <w:t>Conclusion</w:t>
      </w:r>
    </w:p>
    <w:p w:rsidR="000919D5" w:rsidRDefault="000919D5" w:rsidP="000919D5">
      <w:pPr>
        <w:ind w:firstLine="360"/>
      </w:pPr>
      <w:r>
        <w:t xml:space="preserve">Summarily, it is clear that conventional offices contribute immensely to the wastage of electricity and hence incurring unnecessary costs. Switching to green offices and adopting eco-friendly practices is the remedy to mitigate the wastages and prevent unnecessary costs. It is apparent that the commercial sector in the US over the last few years has not been actively involved in the energy efficiency incentives which have resulted in huge losses. On the contrary, the organizations that incorporated the eco-friendly practices reported significant savings of the electricity costs. Therefore, switching to green offices is the solution to minimize wastages and prevent organizations from incurring unnecessary costs. </w:t>
      </w:r>
    </w:p>
    <w:p w:rsidR="000919D5" w:rsidRDefault="000919D5" w:rsidP="000919D5">
      <w:pPr>
        <w:ind w:firstLine="360"/>
      </w:pPr>
    </w:p>
    <w:p w:rsidR="000919D5" w:rsidRDefault="000919D5" w:rsidP="000919D5">
      <w:pPr>
        <w:ind w:firstLine="360"/>
      </w:pPr>
    </w:p>
    <w:p w:rsidR="000919D5" w:rsidRDefault="000919D5" w:rsidP="000919D5">
      <w:pPr>
        <w:ind w:firstLine="360"/>
      </w:pPr>
    </w:p>
    <w:p w:rsidR="000919D5" w:rsidRDefault="000919D5" w:rsidP="000919D5">
      <w:pPr>
        <w:ind w:firstLine="360"/>
      </w:pPr>
    </w:p>
    <w:p w:rsidR="000919D5" w:rsidRDefault="000919D5" w:rsidP="000919D5">
      <w:pPr>
        <w:ind w:firstLine="360"/>
      </w:pPr>
    </w:p>
    <w:p w:rsidR="000919D5" w:rsidRDefault="000919D5" w:rsidP="000919D5">
      <w:pPr>
        <w:ind w:left="0"/>
      </w:pPr>
      <w:bookmarkStart w:id="0" w:name="_GoBack"/>
      <w:bookmarkEnd w:id="0"/>
    </w:p>
    <w:p w:rsidR="0096223D" w:rsidRDefault="0096223D" w:rsidP="000919D5">
      <w:pPr>
        <w:ind w:left="0"/>
        <w:jc w:val="center"/>
      </w:pPr>
      <w:r>
        <w:lastRenderedPageBreak/>
        <w:t>References</w:t>
      </w:r>
    </w:p>
    <w:p w:rsidR="002078A6" w:rsidRDefault="00C1540F" w:rsidP="002078A6">
      <w:pPr>
        <w:pStyle w:val="Bibliography"/>
        <w:ind w:left="720" w:hanging="720"/>
        <w:rPr>
          <w:noProof/>
          <w:szCs w:val="24"/>
        </w:rPr>
      </w:pPr>
      <w:r>
        <w:fldChar w:fldCharType="begin"/>
      </w:r>
      <w:r w:rsidR="002078A6">
        <w:instrText xml:space="preserve"> BIBLIOGRAPHY  \l 1033 </w:instrText>
      </w:r>
      <w:r>
        <w:fldChar w:fldCharType="separate"/>
      </w:r>
      <w:r w:rsidR="002078A6">
        <w:rPr>
          <w:noProof/>
        </w:rPr>
        <w:t xml:space="preserve">Mofidi, F. (2017). Personalized Energy Costs and Productivity Optimization in Offices. </w:t>
      </w:r>
      <w:r w:rsidR="002078A6">
        <w:rPr>
          <w:i/>
          <w:iCs/>
          <w:noProof/>
        </w:rPr>
        <w:t>Energy and Buildings</w:t>
      </w:r>
      <w:r w:rsidR="002078A6">
        <w:rPr>
          <w:noProof/>
        </w:rPr>
        <w:t>, 173-190.</w:t>
      </w:r>
    </w:p>
    <w:p w:rsidR="002078A6" w:rsidRDefault="002078A6" w:rsidP="002078A6">
      <w:pPr>
        <w:pStyle w:val="Bibliography"/>
        <w:ind w:left="720" w:hanging="720"/>
        <w:rPr>
          <w:noProof/>
        </w:rPr>
      </w:pPr>
      <w:r>
        <w:rPr>
          <w:noProof/>
        </w:rPr>
        <w:t xml:space="preserve">Solomon, B. (2018). Eco-labeling for energy efficiency and sustainability: a meta-evaluation of the U.S. </w:t>
      </w:r>
      <w:r>
        <w:rPr>
          <w:i/>
          <w:iCs/>
          <w:noProof/>
        </w:rPr>
        <w:t>Fuel and Energy Abstracts</w:t>
      </w:r>
      <w:r>
        <w:rPr>
          <w:noProof/>
        </w:rPr>
        <w:t>, 266.</w:t>
      </w:r>
    </w:p>
    <w:p w:rsidR="002078A6" w:rsidRDefault="002078A6" w:rsidP="002078A6">
      <w:pPr>
        <w:pStyle w:val="Bibliography"/>
        <w:ind w:left="720" w:hanging="720"/>
        <w:rPr>
          <w:noProof/>
        </w:rPr>
      </w:pPr>
      <w:r>
        <w:rPr>
          <w:noProof/>
        </w:rPr>
        <w:t xml:space="preserve">Vine, E. (2017). Emerging Issues in the Evaluation of energy-efficiency programs: The US Experience. </w:t>
      </w:r>
      <w:r>
        <w:rPr>
          <w:i/>
          <w:iCs/>
          <w:noProof/>
        </w:rPr>
        <w:t>Energy Efficiency</w:t>
      </w:r>
      <w:r>
        <w:rPr>
          <w:noProof/>
        </w:rPr>
        <w:t>, 5-17.</w:t>
      </w:r>
    </w:p>
    <w:p w:rsidR="002D0898" w:rsidRDefault="00C1540F" w:rsidP="002078A6">
      <w:r>
        <w:fldChar w:fldCharType="end"/>
      </w:r>
    </w:p>
    <w:p w:rsidR="00247C6F" w:rsidRDefault="00247C6F" w:rsidP="00C4395C">
      <w:pPr>
        <w:ind w:left="0"/>
      </w:pPr>
    </w:p>
    <w:sectPr w:rsidR="00247C6F" w:rsidSect="001115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1E2B" w:rsidRDefault="00571E2B" w:rsidP="001115E1">
      <w:pPr>
        <w:spacing w:after="0" w:line="240" w:lineRule="auto"/>
      </w:pPr>
      <w:r>
        <w:separator/>
      </w:r>
    </w:p>
  </w:endnote>
  <w:endnote w:type="continuationSeparator" w:id="1">
    <w:p w:rsidR="00571E2B" w:rsidRDefault="00571E2B" w:rsidP="001115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1E2B" w:rsidRDefault="00571E2B" w:rsidP="001115E1">
      <w:pPr>
        <w:spacing w:after="0" w:line="240" w:lineRule="auto"/>
      </w:pPr>
      <w:r>
        <w:separator/>
      </w:r>
    </w:p>
  </w:footnote>
  <w:footnote w:type="continuationSeparator" w:id="1">
    <w:p w:rsidR="00571E2B" w:rsidRDefault="00571E2B" w:rsidP="001115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E1" w:rsidRDefault="001115E1">
    <w:pPr>
      <w:pStyle w:val="Header"/>
      <w:jc w:val="right"/>
    </w:pPr>
    <w:r>
      <w:t xml:space="preserve">ENERGY EFFICIENCY IN THE WORKPLACE                                                                   </w:t>
    </w:r>
    <w:sdt>
      <w:sdtPr>
        <w:id w:val="19752440"/>
        <w:docPartObj>
          <w:docPartGallery w:val="Page Numbers (Top of Page)"/>
          <w:docPartUnique/>
        </w:docPartObj>
      </w:sdtPr>
      <w:sdtEndPr>
        <w:rPr>
          <w:noProof/>
        </w:rPr>
      </w:sdtEndPr>
      <w:sdtContent>
        <w:r w:rsidR="00C1540F">
          <w:fldChar w:fldCharType="begin"/>
        </w:r>
        <w:r>
          <w:instrText xml:space="preserve"> PAGE   \* MERGEFORMAT </w:instrText>
        </w:r>
        <w:r w:rsidR="00C1540F">
          <w:fldChar w:fldCharType="separate"/>
        </w:r>
        <w:r w:rsidR="000919D5">
          <w:rPr>
            <w:noProof/>
          </w:rPr>
          <w:t>2</w:t>
        </w:r>
        <w:r w:rsidR="00C1540F">
          <w:rPr>
            <w:noProof/>
          </w:rPr>
          <w:fldChar w:fldCharType="end"/>
        </w:r>
      </w:sdtContent>
    </w:sdt>
  </w:p>
  <w:p w:rsidR="001115E1" w:rsidRDefault="001115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E1" w:rsidRDefault="001115E1" w:rsidP="00A753CB">
    <w:pPr>
      <w:pStyle w:val="Header"/>
    </w:pPr>
    <w:r>
      <w:t xml:space="preserve">Running head: ENERGY EFFICIENCY IN THE WORKPLACE                                           </w:t>
    </w:r>
    <w:sdt>
      <w:sdtPr>
        <w:id w:val="486669293"/>
        <w:docPartObj>
          <w:docPartGallery w:val="Page Numbers (Top of Page)"/>
          <w:docPartUnique/>
        </w:docPartObj>
      </w:sdtPr>
      <w:sdtEndPr>
        <w:rPr>
          <w:noProof/>
        </w:rPr>
      </w:sdtEndPr>
      <w:sdtContent>
        <w:r w:rsidR="00C1540F">
          <w:fldChar w:fldCharType="begin"/>
        </w:r>
        <w:r>
          <w:instrText xml:space="preserve"> PAGE   \* MERGEFORMAT </w:instrText>
        </w:r>
        <w:r w:rsidR="00C1540F">
          <w:fldChar w:fldCharType="separate"/>
        </w:r>
        <w:r w:rsidR="000919D5">
          <w:rPr>
            <w:noProof/>
          </w:rPr>
          <w:t>1</w:t>
        </w:r>
        <w:r w:rsidR="00C1540F">
          <w:rPr>
            <w:noProof/>
          </w:rPr>
          <w:fldChar w:fldCharType="end"/>
        </w:r>
      </w:sdtContent>
    </w:sdt>
  </w:p>
  <w:p w:rsidR="001115E1" w:rsidRDefault="001115E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4A8D"/>
    <w:rsid w:val="000211C3"/>
    <w:rsid w:val="00063691"/>
    <w:rsid w:val="000919D5"/>
    <w:rsid w:val="00093D6B"/>
    <w:rsid w:val="000D25DF"/>
    <w:rsid w:val="001034DA"/>
    <w:rsid w:val="001115E1"/>
    <w:rsid w:val="001264D9"/>
    <w:rsid w:val="001669BF"/>
    <w:rsid w:val="001D7D34"/>
    <w:rsid w:val="002078A6"/>
    <w:rsid w:val="0021756F"/>
    <w:rsid w:val="00247C6F"/>
    <w:rsid w:val="0025530A"/>
    <w:rsid w:val="00290090"/>
    <w:rsid w:val="002D0898"/>
    <w:rsid w:val="003229CC"/>
    <w:rsid w:val="00343DE3"/>
    <w:rsid w:val="00425886"/>
    <w:rsid w:val="00431A55"/>
    <w:rsid w:val="00464A8D"/>
    <w:rsid w:val="004E378C"/>
    <w:rsid w:val="004F1BC8"/>
    <w:rsid w:val="00537951"/>
    <w:rsid w:val="00571E2B"/>
    <w:rsid w:val="00576662"/>
    <w:rsid w:val="005829CE"/>
    <w:rsid w:val="00610FE5"/>
    <w:rsid w:val="006112D3"/>
    <w:rsid w:val="006535F6"/>
    <w:rsid w:val="006724F5"/>
    <w:rsid w:val="00681B63"/>
    <w:rsid w:val="006859CF"/>
    <w:rsid w:val="00687A39"/>
    <w:rsid w:val="006E5BCF"/>
    <w:rsid w:val="00832774"/>
    <w:rsid w:val="00863A9A"/>
    <w:rsid w:val="008C7A9E"/>
    <w:rsid w:val="0096223D"/>
    <w:rsid w:val="0099387F"/>
    <w:rsid w:val="009B0A2D"/>
    <w:rsid w:val="00A753CB"/>
    <w:rsid w:val="00A92D59"/>
    <w:rsid w:val="00AA33C9"/>
    <w:rsid w:val="00B4709C"/>
    <w:rsid w:val="00B71DDA"/>
    <w:rsid w:val="00C1540F"/>
    <w:rsid w:val="00C4395C"/>
    <w:rsid w:val="00C855FB"/>
    <w:rsid w:val="00DA775D"/>
    <w:rsid w:val="00EC2D3F"/>
    <w:rsid w:val="00F03B1C"/>
    <w:rsid w:val="00F047E9"/>
    <w:rsid w:val="00FC4E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4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5E1"/>
  </w:style>
  <w:style w:type="paragraph" w:styleId="Footer">
    <w:name w:val="footer"/>
    <w:basedOn w:val="Normal"/>
    <w:link w:val="FooterChar"/>
    <w:uiPriority w:val="99"/>
    <w:unhideWhenUsed/>
    <w:rsid w:val="00111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5E1"/>
  </w:style>
  <w:style w:type="paragraph" w:styleId="Bibliography">
    <w:name w:val="Bibliography"/>
    <w:basedOn w:val="Normal"/>
    <w:next w:val="Normal"/>
    <w:uiPriority w:val="37"/>
    <w:unhideWhenUsed/>
    <w:rsid w:val="002078A6"/>
  </w:style>
  <w:style w:type="paragraph" w:styleId="BalloonText">
    <w:name w:val="Balloon Text"/>
    <w:basedOn w:val="Normal"/>
    <w:link w:val="BalloonTextChar"/>
    <w:uiPriority w:val="99"/>
    <w:semiHidden/>
    <w:unhideWhenUsed/>
    <w:rsid w:val="00A753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3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089159">
      <w:bodyDiv w:val="1"/>
      <w:marLeft w:val="0"/>
      <w:marRight w:val="0"/>
      <w:marTop w:val="0"/>
      <w:marBottom w:val="0"/>
      <w:divBdr>
        <w:top w:val="none" w:sz="0" w:space="0" w:color="auto"/>
        <w:left w:val="none" w:sz="0" w:space="0" w:color="auto"/>
        <w:bottom w:val="none" w:sz="0" w:space="0" w:color="auto"/>
        <w:right w:val="none" w:sz="0" w:space="0" w:color="auto"/>
      </w:divBdr>
    </w:div>
    <w:div w:id="394622738">
      <w:bodyDiv w:val="1"/>
      <w:marLeft w:val="0"/>
      <w:marRight w:val="0"/>
      <w:marTop w:val="0"/>
      <w:marBottom w:val="0"/>
      <w:divBdr>
        <w:top w:val="none" w:sz="0" w:space="0" w:color="auto"/>
        <w:left w:val="none" w:sz="0" w:space="0" w:color="auto"/>
        <w:bottom w:val="none" w:sz="0" w:space="0" w:color="auto"/>
        <w:right w:val="none" w:sz="0" w:space="0" w:color="auto"/>
      </w:divBdr>
    </w:div>
    <w:div w:id="495999236">
      <w:bodyDiv w:val="1"/>
      <w:marLeft w:val="0"/>
      <w:marRight w:val="0"/>
      <w:marTop w:val="0"/>
      <w:marBottom w:val="0"/>
      <w:divBdr>
        <w:top w:val="none" w:sz="0" w:space="0" w:color="auto"/>
        <w:left w:val="none" w:sz="0" w:space="0" w:color="auto"/>
        <w:bottom w:val="none" w:sz="0" w:space="0" w:color="auto"/>
        <w:right w:val="none" w:sz="0" w:space="0" w:color="auto"/>
      </w:divBdr>
    </w:div>
    <w:div w:id="499664381">
      <w:bodyDiv w:val="1"/>
      <w:marLeft w:val="0"/>
      <w:marRight w:val="0"/>
      <w:marTop w:val="0"/>
      <w:marBottom w:val="0"/>
      <w:divBdr>
        <w:top w:val="none" w:sz="0" w:space="0" w:color="auto"/>
        <w:left w:val="none" w:sz="0" w:space="0" w:color="auto"/>
        <w:bottom w:val="none" w:sz="0" w:space="0" w:color="auto"/>
        <w:right w:val="none" w:sz="0" w:space="0" w:color="auto"/>
      </w:divBdr>
    </w:div>
    <w:div w:id="744570513">
      <w:bodyDiv w:val="1"/>
      <w:marLeft w:val="0"/>
      <w:marRight w:val="0"/>
      <w:marTop w:val="0"/>
      <w:marBottom w:val="0"/>
      <w:divBdr>
        <w:top w:val="none" w:sz="0" w:space="0" w:color="auto"/>
        <w:left w:val="none" w:sz="0" w:space="0" w:color="auto"/>
        <w:bottom w:val="none" w:sz="0" w:space="0" w:color="auto"/>
        <w:right w:val="none" w:sz="0" w:space="0" w:color="auto"/>
      </w:divBdr>
    </w:div>
    <w:div w:id="1001004867">
      <w:bodyDiv w:val="1"/>
      <w:marLeft w:val="0"/>
      <w:marRight w:val="0"/>
      <w:marTop w:val="0"/>
      <w:marBottom w:val="0"/>
      <w:divBdr>
        <w:top w:val="none" w:sz="0" w:space="0" w:color="auto"/>
        <w:left w:val="none" w:sz="0" w:space="0" w:color="auto"/>
        <w:bottom w:val="none" w:sz="0" w:space="0" w:color="auto"/>
        <w:right w:val="none" w:sz="0" w:space="0" w:color="auto"/>
      </w:divBdr>
    </w:div>
    <w:div w:id="1469935733">
      <w:bodyDiv w:val="1"/>
      <w:marLeft w:val="0"/>
      <w:marRight w:val="0"/>
      <w:marTop w:val="0"/>
      <w:marBottom w:val="0"/>
      <w:divBdr>
        <w:top w:val="none" w:sz="0" w:space="0" w:color="auto"/>
        <w:left w:val="none" w:sz="0" w:space="0" w:color="auto"/>
        <w:bottom w:val="none" w:sz="0" w:space="0" w:color="auto"/>
        <w:right w:val="none" w:sz="0" w:space="0" w:color="auto"/>
      </w:divBdr>
    </w:div>
    <w:div w:id="1554849641">
      <w:bodyDiv w:val="1"/>
      <w:marLeft w:val="0"/>
      <w:marRight w:val="0"/>
      <w:marTop w:val="0"/>
      <w:marBottom w:val="0"/>
      <w:divBdr>
        <w:top w:val="none" w:sz="0" w:space="0" w:color="auto"/>
        <w:left w:val="none" w:sz="0" w:space="0" w:color="auto"/>
        <w:bottom w:val="none" w:sz="0" w:space="0" w:color="auto"/>
        <w:right w:val="none" w:sz="0" w:space="0" w:color="auto"/>
      </w:divBdr>
    </w:div>
    <w:div w:id="1871070362">
      <w:bodyDiv w:val="1"/>
      <w:marLeft w:val="0"/>
      <w:marRight w:val="0"/>
      <w:marTop w:val="0"/>
      <w:marBottom w:val="0"/>
      <w:divBdr>
        <w:top w:val="none" w:sz="0" w:space="0" w:color="auto"/>
        <w:left w:val="none" w:sz="0" w:space="0" w:color="auto"/>
        <w:bottom w:val="none" w:sz="0" w:space="0" w:color="auto"/>
        <w:right w:val="none" w:sz="0" w:space="0" w:color="auto"/>
      </w:divBdr>
    </w:div>
    <w:div w:id="1978752290">
      <w:bodyDiv w:val="1"/>
      <w:marLeft w:val="0"/>
      <w:marRight w:val="0"/>
      <w:marTop w:val="0"/>
      <w:marBottom w:val="0"/>
      <w:divBdr>
        <w:top w:val="none" w:sz="0" w:space="0" w:color="auto"/>
        <w:left w:val="none" w:sz="0" w:space="0" w:color="auto"/>
        <w:bottom w:val="none" w:sz="0" w:space="0" w:color="auto"/>
        <w:right w:val="none" w:sz="0" w:space="0" w:color="auto"/>
      </w:divBdr>
    </w:div>
    <w:div w:id="1996570578">
      <w:bodyDiv w:val="1"/>
      <w:marLeft w:val="0"/>
      <w:marRight w:val="0"/>
      <w:marTop w:val="0"/>
      <w:marBottom w:val="0"/>
      <w:divBdr>
        <w:top w:val="none" w:sz="0" w:space="0" w:color="auto"/>
        <w:left w:val="none" w:sz="0" w:space="0" w:color="auto"/>
        <w:bottom w:val="none" w:sz="0" w:space="0" w:color="auto"/>
        <w:right w:val="none" w:sz="0" w:space="0" w:color="auto"/>
      </w:divBdr>
    </w:div>
    <w:div w:id="208602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Mof17</b:Tag>
    <b:SourceType>JournalArticle</b:SourceType>
    <b:Guid>{379160A4-BE21-42AE-A175-C46777F27468}</b:Guid>
    <b:Title>Personalized Energy Costs and Productivity Optimization in Offices</b:Title>
    <b:Year>2017</b:Year>
    <b:Author>
      <b:Author>
        <b:NameList>
          <b:Person>
            <b:Last>Mofidi</b:Last>
            <b:First>Forhad.</b:First>
          </b:Person>
        </b:NameList>
      </b:Author>
    </b:Author>
    <b:JournalName>Energy and Buildings</b:JournalName>
    <b:Pages>173-190</b:Pages>
    <b:RefOrder>2</b:RefOrder>
  </b:Source>
  <b:Source>
    <b:Tag>Sol18</b:Tag>
    <b:SourceType>JournalArticle</b:SourceType>
    <b:Guid>{303259C9-9359-4FA2-8254-1DBBB90443DD}</b:Guid>
    <b:Author>
      <b:Author>
        <b:NameList>
          <b:Person>
            <b:Last>Solomon</b:Last>
            <b:First>B.</b:First>
          </b:Person>
        </b:NameList>
      </b:Author>
    </b:Author>
    <b:Title>Eco-labeling for energy efficiency and sustainability: a meta-evaluation of the U.S</b:Title>
    <b:JournalName>Fuel and Energy Abstracts</b:JournalName>
    <b:Year>2018</b:Year>
    <b:Pages>266</b:Pages>
    <b:RefOrder>1</b:RefOrder>
  </b:Source>
  <b:Source>
    <b:Tag>Vin17</b:Tag>
    <b:SourceType>JournalArticle</b:SourceType>
    <b:Guid>{B27EBAA8-09F4-4FBA-8330-E06F86B3DA3A}</b:Guid>
    <b:Author>
      <b:Author>
        <b:NameList>
          <b:Person>
            <b:Last>Vine</b:Last>
            <b:First>E.</b:First>
          </b:Person>
        </b:NameList>
      </b:Author>
    </b:Author>
    <b:Title>Emerging Issues in the Evaluation of energy-efficiency programs: The US Experience</b:Title>
    <b:JournalName>Energy Efficiency</b:JournalName>
    <b:Year>2017</b:Year>
    <b:Pages>5-17</b:Pages>
    <b:RefOrder>3</b:RefOrder>
  </b:Source>
</b:Sources>
</file>

<file path=customXml/itemProps1.xml><?xml version="1.0" encoding="utf-8"?>
<ds:datastoreItem xmlns:ds="http://schemas.openxmlformats.org/officeDocument/2006/customXml" ds:itemID="{FE963138-2D76-4D07-9A75-35759F2A3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3</cp:revision>
  <dcterms:created xsi:type="dcterms:W3CDTF">2019-04-05T11:19:00Z</dcterms:created>
  <dcterms:modified xsi:type="dcterms:W3CDTF">2019-04-05T11:24:00Z</dcterms:modified>
</cp:coreProperties>
</file>